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1EF4" w14:textId="315AC6DE" w:rsidR="00670DD1" w:rsidRPr="00670DD1" w:rsidRDefault="00670DD1" w:rsidP="00670DD1">
      <w:pPr>
        <w:shd w:val="clear" w:color="auto" w:fill="FFFFFF"/>
        <w:outlineLvl w:val="0"/>
        <w:rPr>
          <w:rFonts w:ascii="Lato" w:eastAsia="Times New Roman" w:hAnsi="Lato" w:cs="Times New Roman"/>
          <w:color w:val="CC3300"/>
          <w:kern w:val="36"/>
          <w:sz w:val="36"/>
          <w:szCs w:val="36"/>
          <w:lang w:eastAsia="fr-FR"/>
        </w:rPr>
      </w:pPr>
      <w:r w:rsidRPr="00670DD1">
        <w:rPr>
          <w:rFonts w:ascii="Lato" w:eastAsia="Times New Roman" w:hAnsi="Lato" w:cs="Times New Roman"/>
          <w:color w:val="CC3300"/>
          <w:kern w:val="36"/>
          <w:sz w:val="36"/>
          <w:szCs w:val="36"/>
          <w:lang w:eastAsia="fr-FR"/>
        </w:rPr>
        <w:t>2022</w:t>
      </w:r>
      <w:r>
        <w:rPr>
          <w:rFonts w:ascii="Lato" w:eastAsia="Times New Roman" w:hAnsi="Lato" w:cs="Times New Roman"/>
          <w:color w:val="CC3300"/>
          <w:kern w:val="36"/>
          <w:sz w:val="36"/>
          <w:szCs w:val="36"/>
          <w:lang w:eastAsia="fr-FR"/>
        </w:rPr>
        <w:t>,</w:t>
      </w:r>
      <w:r w:rsidRPr="00670DD1">
        <w:rPr>
          <w:rFonts w:ascii="Lato" w:eastAsia="Times New Roman" w:hAnsi="Lato" w:cs="Times New Roman"/>
          <w:color w:val="CC3300"/>
          <w:kern w:val="36"/>
          <w:sz w:val="36"/>
          <w:szCs w:val="36"/>
          <w:lang w:eastAsia="fr-FR"/>
        </w:rPr>
        <w:t xml:space="preserve"> en route pour la normalisation ?</w:t>
      </w:r>
    </w:p>
    <w:p w14:paraId="29999B26" w14:textId="77777777" w:rsidR="00670DD1" w:rsidRPr="00670DD1" w:rsidRDefault="00670DD1" w:rsidP="00670DD1">
      <w:pPr>
        <w:shd w:val="clear" w:color="auto" w:fill="FFFFFF"/>
        <w:spacing w:before="75" w:after="75"/>
        <w:jc w:val="both"/>
        <w:rPr>
          <w:rFonts w:ascii="Lato" w:eastAsia="Times New Roman" w:hAnsi="Lato" w:cs="Times New Roman"/>
          <w:color w:val="000000"/>
          <w:sz w:val="23"/>
          <w:szCs w:val="23"/>
          <w:lang w:eastAsia="fr-FR"/>
        </w:rPr>
      </w:pPr>
      <w:r w:rsidRPr="00670DD1">
        <w:rPr>
          <w:rFonts w:ascii="Lato" w:eastAsia="Times New Roman" w:hAnsi="Lato" w:cs="Times New Roman"/>
          <w:color w:val="000000"/>
          <w:sz w:val="23"/>
          <w:szCs w:val="23"/>
          <w:lang w:eastAsia="fr-FR"/>
        </w:rPr>
        <w:t>Les métaux industriels viennent de boucler 2021 sur leur meilleure performance annuelle depuis 2009. L’indice LMEX, qui compile les évolutions des cours londoniens du cuivre, de l’aluminium, du nickel, du zinc, du plomb et de l’étain, affiche ainsi une progression de 32 % sur l’année, après celle de 20 % enregistrée en 2020. «</w:t>
      </w:r>
      <w:r w:rsidRPr="00670DD1">
        <w:rPr>
          <w:rFonts w:ascii="Lato" w:eastAsia="Times New Roman" w:hAnsi="Lato" w:cs="Times New Roman"/>
          <w:i/>
          <w:iCs/>
          <w:color w:val="000000"/>
          <w:sz w:val="23"/>
          <w:szCs w:val="23"/>
          <w:lang w:eastAsia="fr-FR"/>
        </w:rPr>
        <w:t> On a eu une année avec une demande soutenue</w:t>
      </w:r>
      <w:r w:rsidRPr="00670DD1">
        <w:rPr>
          <w:rFonts w:ascii="Lato" w:eastAsia="Times New Roman" w:hAnsi="Lato" w:cs="Times New Roman"/>
          <w:color w:val="000000"/>
          <w:sz w:val="23"/>
          <w:szCs w:val="23"/>
          <w:lang w:eastAsia="fr-FR"/>
        </w:rPr>
        <w:t xml:space="preserve">, résume l’analyste </w:t>
      </w:r>
      <w:proofErr w:type="spellStart"/>
      <w:r w:rsidRPr="00670DD1">
        <w:rPr>
          <w:rFonts w:ascii="Lato" w:eastAsia="Times New Roman" w:hAnsi="Lato" w:cs="Times New Roman"/>
          <w:color w:val="000000"/>
          <w:sz w:val="23"/>
          <w:szCs w:val="23"/>
          <w:lang w:eastAsia="fr-FR"/>
        </w:rPr>
        <w:t>Wenyu</w:t>
      </w:r>
      <w:proofErr w:type="spellEnd"/>
      <w:r w:rsidRPr="00670DD1">
        <w:rPr>
          <w:rFonts w:ascii="Lato" w:eastAsia="Times New Roman" w:hAnsi="Lato" w:cs="Times New Roman"/>
          <w:color w:val="000000"/>
          <w:sz w:val="23"/>
          <w:szCs w:val="23"/>
          <w:lang w:eastAsia="fr-FR"/>
        </w:rPr>
        <w:t xml:space="preserve"> Yao. </w:t>
      </w:r>
      <w:r w:rsidRPr="00670DD1">
        <w:rPr>
          <w:rFonts w:ascii="Lato" w:eastAsia="Times New Roman" w:hAnsi="Lato" w:cs="Times New Roman"/>
          <w:i/>
          <w:iCs/>
          <w:color w:val="000000"/>
          <w:sz w:val="23"/>
          <w:szCs w:val="23"/>
          <w:lang w:eastAsia="fr-FR"/>
        </w:rPr>
        <w:t>La plupart des marchés se sont retrouvés en situation de déficit. Nous pensons que les choses vont prendre la voie de la normalisation en 2022. La croissance de la demande devrait ralentir.</w:t>
      </w:r>
      <w:r w:rsidRPr="00670DD1">
        <w:rPr>
          <w:rFonts w:ascii="Lato" w:eastAsia="Times New Roman" w:hAnsi="Lato" w:cs="Times New Roman"/>
          <w:color w:val="000000"/>
          <w:sz w:val="23"/>
          <w:szCs w:val="23"/>
          <w:lang w:eastAsia="fr-FR"/>
        </w:rPr>
        <w:t> » L’experte ajoute toutefois que l’offre devrait rester limitée, ce qui devrait permettre aux cours de se maintenir à des niveaux élevés, sur le court terme au moins.</w:t>
      </w:r>
    </w:p>
    <w:p w14:paraId="04E1D747" w14:textId="77777777" w:rsidR="00670DD1" w:rsidRPr="00670DD1" w:rsidRDefault="00670DD1" w:rsidP="00670DD1">
      <w:pPr>
        <w:shd w:val="clear" w:color="auto" w:fill="FFFFFF"/>
        <w:spacing w:before="75" w:after="75"/>
        <w:jc w:val="both"/>
        <w:rPr>
          <w:rFonts w:ascii="Lato" w:eastAsia="Times New Roman" w:hAnsi="Lato" w:cs="Times New Roman"/>
          <w:color w:val="000000"/>
          <w:sz w:val="23"/>
          <w:szCs w:val="23"/>
          <w:lang w:eastAsia="fr-FR"/>
        </w:rPr>
      </w:pPr>
      <w:r w:rsidRPr="00670DD1">
        <w:rPr>
          <w:rFonts w:ascii="Lato" w:eastAsia="Times New Roman" w:hAnsi="Lato" w:cs="Times New Roman"/>
          <w:color w:val="000000"/>
          <w:sz w:val="23"/>
          <w:szCs w:val="23"/>
          <w:lang w:eastAsia="fr-FR"/>
        </w:rPr>
        <w:t>Le cuivre a bouclé 2021 en hausse de 25% ; il avait gagné 26 % en 2020. L’aluminium termine 2021 en progression de 43 %, sa meilleure performance depuis 2009. Idem pour le nickel avec une hausse de 25 % sur l’année. Avec des progressions respectives de 28 % et 15 %, le zinc et le plomb signent leur meilleure année depuis 2017. Quant à l’étain, champion du complexe, il gagne 92 % sur l’année. C’est le mieux qu’il ait réalisé en au moins deux décennies.</w:t>
      </w:r>
    </w:p>
    <w:p w14:paraId="670C636E" w14:textId="77777777" w:rsidR="00670DD1" w:rsidRPr="00670DD1" w:rsidRDefault="00670DD1" w:rsidP="00670DD1">
      <w:pPr>
        <w:shd w:val="clear" w:color="auto" w:fill="FFFFFF"/>
        <w:spacing w:before="75" w:after="75"/>
        <w:jc w:val="both"/>
        <w:rPr>
          <w:rFonts w:ascii="Lato" w:eastAsia="Times New Roman" w:hAnsi="Lato" w:cs="Times New Roman"/>
          <w:color w:val="000000"/>
          <w:sz w:val="23"/>
          <w:szCs w:val="23"/>
          <w:lang w:eastAsia="fr-FR"/>
        </w:rPr>
      </w:pPr>
      <w:r w:rsidRPr="00670DD1">
        <w:rPr>
          <w:rFonts w:ascii="Lato" w:eastAsia="Times New Roman" w:hAnsi="Lato" w:cs="Times New Roman"/>
          <w:color w:val="000000"/>
          <w:sz w:val="23"/>
          <w:szCs w:val="23"/>
          <w:lang w:eastAsia="fr-FR"/>
        </w:rPr>
        <w:t>Côté précieux en revanche, l’or a terminé 2021 sur sa moins bonne performance depuis 2015, et sa première baisse (-4 %) en trois ans.</w:t>
      </w:r>
    </w:p>
    <w:p w14:paraId="614F6C58" w14:textId="77777777" w:rsidR="00670DD1" w:rsidRPr="00670DD1" w:rsidRDefault="00670DD1" w:rsidP="00670DD1">
      <w:pPr>
        <w:shd w:val="clear" w:color="auto" w:fill="FFFFFF"/>
        <w:spacing w:before="75" w:after="75"/>
        <w:jc w:val="both"/>
        <w:rPr>
          <w:rFonts w:ascii="Lato" w:eastAsia="Times New Roman" w:hAnsi="Lato" w:cs="Times New Roman"/>
          <w:color w:val="000000"/>
          <w:sz w:val="23"/>
          <w:szCs w:val="23"/>
          <w:lang w:eastAsia="fr-FR"/>
        </w:rPr>
      </w:pPr>
      <w:r w:rsidRPr="00670DD1">
        <w:rPr>
          <w:rFonts w:ascii="Lato" w:eastAsia="Times New Roman" w:hAnsi="Lato" w:cs="Times New Roman"/>
          <w:color w:val="000000"/>
          <w:sz w:val="23"/>
          <w:szCs w:val="23"/>
          <w:lang w:eastAsia="fr-FR"/>
        </w:rPr>
        <w:t>A noter que fin décembre, l'ensemble des métaux industriels ont  « </w:t>
      </w:r>
      <w:r w:rsidRPr="00670DD1">
        <w:rPr>
          <w:rFonts w:ascii="Lato" w:eastAsia="Times New Roman" w:hAnsi="Lato" w:cs="Times New Roman"/>
          <w:i/>
          <w:iCs/>
          <w:color w:val="000000"/>
          <w:sz w:val="23"/>
          <w:szCs w:val="23"/>
          <w:lang w:eastAsia="fr-FR"/>
        </w:rPr>
        <w:t xml:space="preserve">reçu un coup de pouce supplémentaire après que le président américain Joe </w:t>
      </w:r>
      <w:proofErr w:type="spellStart"/>
      <w:r w:rsidRPr="00670DD1">
        <w:rPr>
          <w:rFonts w:ascii="Lato" w:eastAsia="Times New Roman" w:hAnsi="Lato" w:cs="Times New Roman"/>
          <w:i/>
          <w:iCs/>
          <w:color w:val="000000"/>
          <w:sz w:val="23"/>
          <w:szCs w:val="23"/>
          <w:lang w:eastAsia="fr-FR"/>
        </w:rPr>
        <w:t>Biden</w:t>
      </w:r>
      <w:proofErr w:type="spellEnd"/>
      <w:r w:rsidRPr="00670DD1">
        <w:rPr>
          <w:rFonts w:ascii="Lato" w:eastAsia="Times New Roman" w:hAnsi="Lato" w:cs="Times New Roman"/>
          <w:i/>
          <w:iCs/>
          <w:color w:val="000000"/>
          <w:sz w:val="23"/>
          <w:szCs w:val="23"/>
          <w:lang w:eastAsia="fr-FR"/>
        </w:rPr>
        <w:t xml:space="preserve"> a déclaré qu'un accord avec l'un des sénateurs américains, Joe </w:t>
      </w:r>
      <w:proofErr w:type="spellStart"/>
      <w:r w:rsidRPr="00670DD1">
        <w:rPr>
          <w:rFonts w:ascii="Lato" w:eastAsia="Times New Roman" w:hAnsi="Lato" w:cs="Times New Roman"/>
          <w:i/>
          <w:iCs/>
          <w:color w:val="000000"/>
          <w:sz w:val="23"/>
          <w:szCs w:val="23"/>
          <w:lang w:eastAsia="fr-FR"/>
        </w:rPr>
        <w:t>Manchin</w:t>
      </w:r>
      <w:proofErr w:type="spellEnd"/>
      <w:r w:rsidRPr="00670DD1">
        <w:rPr>
          <w:rFonts w:ascii="Lato" w:eastAsia="Times New Roman" w:hAnsi="Lato" w:cs="Times New Roman"/>
          <w:i/>
          <w:iCs/>
          <w:color w:val="000000"/>
          <w:sz w:val="23"/>
          <w:szCs w:val="23"/>
          <w:lang w:eastAsia="fr-FR"/>
        </w:rPr>
        <w:t>, était possible</w:t>
      </w:r>
      <w:r w:rsidRPr="00670DD1">
        <w:rPr>
          <w:rFonts w:ascii="Lato" w:eastAsia="Times New Roman" w:hAnsi="Lato" w:cs="Times New Roman"/>
          <w:color w:val="000000"/>
          <w:sz w:val="23"/>
          <w:szCs w:val="23"/>
          <w:lang w:eastAsia="fr-FR"/>
        </w:rPr>
        <w:t xml:space="preserve"> », a ajouté Daria </w:t>
      </w:r>
      <w:proofErr w:type="spellStart"/>
      <w:r w:rsidRPr="00670DD1">
        <w:rPr>
          <w:rFonts w:ascii="Lato" w:eastAsia="Times New Roman" w:hAnsi="Lato" w:cs="Times New Roman"/>
          <w:color w:val="000000"/>
          <w:sz w:val="23"/>
          <w:szCs w:val="23"/>
          <w:lang w:eastAsia="fr-FR"/>
        </w:rPr>
        <w:t>Efanova</w:t>
      </w:r>
      <w:proofErr w:type="spellEnd"/>
      <w:r w:rsidRPr="00670DD1">
        <w:rPr>
          <w:rFonts w:ascii="Lato" w:eastAsia="Times New Roman" w:hAnsi="Lato" w:cs="Times New Roman"/>
          <w:color w:val="000000"/>
          <w:sz w:val="23"/>
          <w:szCs w:val="23"/>
          <w:lang w:eastAsia="fr-FR"/>
        </w:rPr>
        <w:t>. Le locataire de la Maison Blanche avait assuré mardi 21 décembre qu'il trouverait un terrain d'entente avec le sénateur démocrate qui bloque au Congrès l'adoption du vaste plan de réformes porté par le président américain. Les 1.750 milliards de dollars qui lui sont consacrés seront entre autres investis dans des nouvelles infrastructures gourmandes en métaux de base.</w:t>
      </w:r>
    </w:p>
    <w:p w14:paraId="3EFC4FB3" w14:textId="77777777" w:rsidR="00670DD1" w:rsidRPr="00670DD1" w:rsidRDefault="00670DD1" w:rsidP="00670DD1">
      <w:pPr>
        <w:shd w:val="clear" w:color="auto" w:fill="FFFFFF"/>
        <w:spacing w:before="75" w:after="75"/>
        <w:jc w:val="both"/>
        <w:rPr>
          <w:rFonts w:ascii="Lato" w:eastAsia="Times New Roman" w:hAnsi="Lato" w:cs="Times New Roman"/>
          <w:color w:val="000000"/>
          <w:sz w:val="23"/>
          <w:szCs w:val="23"/>
          <w:lang w:eastAsia="fr-FR"/>
        </w:rPr>
      </w:pPr>
      <w:r w:rsidRPr="00670DD1">
        <w:rPr>
          <w:rFonts w:ascii="Lato" w:eastAsia="Times New Roman" w:hAnsi="Lato" w:cs="Times New Roman"/>
          <w:color w:val="000000"/>
          <w:sz w:val="23"/>
          <w:szCs w:val="23"/>
          <w:lang w:eastAsia="fr-FR"/>
        </w:rPr>
        <w:t> </w:t>
      </w:r>
    </w:p>
    <w:p w14:paraId="708A56CC" w14:textId="77777777" w:rsidR="00670DD1" w:rsidRPr="00670DD1" w:rsidRDefault="00670DD1" w:rsidP="00670DD1">
      <w:pPr>
        <w:shd w:val="clear" w:color="auto" w:fill="FFFFFF"/>
        <w:spacing w:before="75" w:after="75"/>
        <w:jc w:val="both"/>
        <w:rPr>
          <w:rFonts w:ascii="Lato" w:eastAsia="Times New Roman" w:hAnsi="Lato" w:cs="Times New Roman"/>
          <w:color w:val="000000"/>
          <w:sz w:val="23"/>
          <w:szCs w:val="23"/>
          <w:lang w:eastAsia="fr-FR"/>
        </w:rPr>
      </w:pPr>
      <w:r w:rsidRPr="00670DD1">
        <w:rPr>
          <w:rFonts w:ascii="Lato" w:eastAsia="Times New Roman" w:hAnsi="Lato" w:cs="Times New Roman"/>
          <w:b/>
          <w:bCs/>
          <w:color w:val="A52A2A"/>
          <w:sz w:val="23"/>
          <w:szCs w:val="23"/>
          <w:lang w:eastAsia="fr-FR"/>
        </w:rPr>
        <w:t>Des perspectives positives</w:t>
      </w:r>
    </w:p>
    <w:p w14:paraId="0630C8F9" w14:textId="77777777" w:rsidR="00670DD1" w:rsidRPr="00670DD1" w:rsidRDefault="00670DD1" w:rsidP="00670DD1">
      <w:pPr>
        <w:shd w:val="clear" w:color="auto" w:fill="FFFFFF"/>
        <w:spacing w:before="75" w:after="75"/>
        <w:jc w:val="both"/>
        <w:rPr>
          <w:rFonts w:ascii="Lato" w:eastAsia="Times New Roman" w:hAnsi="Lato" w:cs="Times New Roman"/>
          <w:color w:val="000000"/>
          <w:sz w:val="23"/>
          <w:szCs w:val="23"/>
          <w:lang w:eastAsia="fr-FR"/>
        </w:rPr>
      </w:pPr>
      <w:r w:rsidRPr="00670DD1">
        <w:rPr>
          <w:rFonts w:ascii="Lato" w:eastAsia="Times New Roman" w:hAnsi="Lato" w:cs="Times New Roman"/>
          <w:color w:val="000000"/>
          <w:sz w:val="23"/>
          <w:szCs w:val="23"/>
          <w:lang w:eastAsia="fr-FR"/>
        </w:rPr>
        <w:t>Aujourd’hui les perspectives pour l’année qui s’ouvre sont positives, sous réserve que l’économie mondiale continue de se remettre, bon an mal an, de la crise sanitaire. Et sous réserve que la Chine reste la locomotive de la consommation mondiale de métaux de base, ce qui pourrait être de moins en moins le cas dans les années à venir.</w:t>
      </w:r>
    </w:p>
    <w:p w14:paraId="189AAB7C" w14:textId="77777777" w:rsidR="00670DD1" w:rsidRPr="00670DD1" w:rsidRDefault="00670DD1" w:rsidP="00670DD1">
      <w:pPr>
        <w:shd w:val="clear" w:color="auto" w:fill="FFFFFF"/>
        <w:spacing w:before="75" w:after="75"/>
        <w:jc w:val="both"/>
        <w:rPr>
          <w:rFonts w:ascii="Lato" w:eastAsia="Times New Roman" w:hAnsi="Lato" w:cs="Times New Roman"/>
          <w:color w:val="000000"/>
          <w:sz w:val="23"/>
          <w:szCs w:val="23"/>
          <w:lang w:eastAsia="fr-FR"/>
        </w:rPr>
      </w:pPr>
      <w:r w:rsidRPr="00670DD1">
        <w:rPr>
          <w:rFonts w:ascii="Lato" w:eastAsia="Times New Roman" w:hAnsi="Lato" w:cs="Times New Roman"/>
          <w:color w:val="000000"/>
          <w:sz w:val="23"/>
          <w:szCs w:val="23"/>
          <w:lang w:eastAsia="fr-FR"/>
        </w:rPr>
        <w:t>Le cours de l'aluminium a progressé la semaine précédant Noël, se hissant au plus haut depuis deux mois dans la foulée de la hausse de ses coûts de production et d'une forte demande attendue aux États-Unis. « </w:t>
      </w:r>
      <w:r w:rsidRPr="00670DD1">
        <w:rPr>
          <w:rFonts w:ascii="Lato" w:eastAsia="Times New Roman" w:hAnsi="Lato" w:cs="Times New Roman"/>
          <w:i/>
          <w:iCs/>
          <w:color w:val="000000"/>
          <w:sz w:val="23"/>
          <w:szCs w:val="23"/>
          <w:lang w:eastAsia="fr-FR"/>
        </w:rPr>
        <w:t> L'aluminium, qui est l'un des matériaux les plus énergivores, a ressenti de manière évidente la hausse des cours</w:t>
      </w:r>
      <w:r w:rsidRPr="00670DD1">
        <w:rPr>
          <w:rFonts w:ascii="Lato" w:eastAsia="Times New Roman" w:hAnsi="Lato" w:cs="Times New Roman"/>
          <w:color w:val="000000"/>
          <w:sz w:val="23"/>
          <w:szCs w:val="23"/>
          <w:lang w:eastAsia="fr-FR"/>
        </w:rPr>
        <w:t xml:space="preserve"> » du gaz, a expliqué Daria </w:t>
      </w:r>
      <w:proofErr w:type="spellStart"/>
      <w:r w:rsidRPr="00670DD1">
        <w:rPr>
          <w:rFonts w:ascii="Lato" w:eastAsia="Times New Roman" w:hAnsi="Lato" w:cs="Times New Roman"/>
          <w:color w:val="000000"/>
          <w:sz w:val="23"/>
          <w:szCs w:val="23"/>
          <w:lang w:eastAsia="fr-FR"/>
        </w:rPr>
        <w:t>Efanova</w:t>
      </w:r>
      <w:proofErr w:type="spellEnd"/>
      <w:r w:rsidRPr="00670DD1">
        <w:rPr>
          <w:rFonts w:ascii="Lato" w:eastAsia="Times New Roman" w:hAnsi="Lato" w:cs="Times New Roman"/>
          <w:color w:val="000000"/>
          <w:sz w:val="23"/>
          <w:szCs w:val="23"/>
          <w:lang w:eastAsia="fr-FR"/>
        </w:rPr>
        <w:t xml:space="preserve">, analyste de </w:t>
      </w:r>
      <w:proofErr w:type="spellStart"/>
      <w:r w:rsidRPr="00670DD1">
        <w:rPr>
          <w:rFonts w:ascii="Lato" w:eastAsia="Times New Roman" w:hAnsi="Lato" w:cs="Times New Roman"/>
          <w:color w:val="000000"/>
          <w:sz w:val="23"/>
          <w:szCs w:val="23"/>
          <w:lang w:eastAsia="fr-FR"/>
        </w:rPr>
        <w:t>Sucden</w:t>
      </w:r>
      <w:proofErr w:type="spellEnd"/>
      <w:r w:rsidRPr="00670DD1">
        <w:rPr>
          <w:rFonts w:ascii="Lato" w:eastAsia="Times New Roman" w:hAnsi="Lato" w:cs="Times New Roman"/>
          <w:color w:val="000000"/>
          <w:sz w:val="23"/>
          <w:szCs w:val="23"/>
          <w:lang w:eastAsia="fr-FR"/>
        </w:rPr>
        <w:t xml:space="preserve">. La tonne d'aluminium sur le London </w:t>
      </w:r>
      <w:proofErr w:type="spellStart"/>
      <w:r w:rsidRPr="00670DD1">
        <w:rPr>
          <w:rFonts w:ascii="Lato" w:eastAsia="Times New Roman" w:hAnsi="Lato" w:cs="Times New Roman"/>
          <w:color w:val="000000"/>
          <w:sz w:val="23"/>
          <w:szCs w:val="23"/>
          <w:lang w:eastAsia="fr-FR"/>
        </w:rPr>
        <w:t>Metal</w:t>
      </w:r>
      <w:proofErr w:type="spellEnd"/>
      <w:r w:rsidRPr="00670DD1">
        <w:rPr>
          <w:rFonts w:ascii="Lato" w:eastAsia="Times New Roman" w:hAnsi="Lato" w:cs="Times New Roman"/>
          <w:color w:val="000000"/>
          <w:sz w:val="23"/>
          <w:szCs w:val="23"/>
          <w:lang w:eastAsia="fr-FR"/>
        </w:rPr>
        <w:t xml:space="preserve"> Exchange (LME) a culminé vendredi 24 décembre à 2.851 dollars la tonne, une première depuis le 26 octobre. Il attaque sa première cotation de l’année ce mardi tout juste au-dessus des 2.800 dollars, soit une hausse de près de 150 dollars par rapport à la mi-décembre.</w:t>
      </w:r>
    </w:p>
    <w:p w14:paraId="00B18247" w14:textId="77777777" w:rsidR="00670DD1" w:rsidRPr="00670DD1" w:rsidRDefault="00670DD1" w:rsidP="00670DD1">
      <w:pPr>
        <w:shd w:val="clear" w:color="auto" w:fill="FFFFFF"/>
        <w:spacing w:before="75" w:after="75"/>
        <w:jc w:val="both"/>
        <w:rPr>
          <w:rFonts w:ascii="Lato" w:eastAsia="Times New Roman" w:hAnsi="Lato" w:cs="Times New Roman"/>
          <w:color w:val="000000"/>
          <w:sz w:val="23"/>
          <w:szCs w:val="23"/>
          <w:lang w:eastAsia="fr-FR"/>
        </w:rPr>
      </w:pPr>
      <w:r w:rsidRPr="00670DD1">
        <w:rPr>
          <w:rFonts w:ascii="Lato" w:eastAsia="Times New Roman" w:hAnsi="Lato" w:cs="Times New Roman"/>
          <w:color w:val="000000"/>
          <w:sz w:val="23"/>
          <w:szCs w:val="23"/>
          <w:lang w:eastAsia="fr-FR"/>
        </w:rPr>
        <w:t>Le cuivre progresse dans les mêmes proportions sur la période considérée, à 8.500  dollars à la reprise des cotations. Excellente performance également pour le nickel, en hausse de près de 1.000 dollars sur deux semaines, à 20.645 dollars mardi matin. Le zinc s’en tire également très bien, avec une hausse de 200 dollars qui lui permet de franchir à nouveau la barre des 3.500 dollars. Deux métaux s’affichent toutefois en repli sur ces deux dernières semaines. Il s’agit de l’étain, qui accuse une perte de  400 dollars, à 38.450 dollars, et du plomb, en baisse peu significative de 20 dollars, à 2.280 dollars</w:t>
      </w:r>
    </w:p>
    <w:p w14:paraId="420BEA18" w14:textId="77777777" w:rsidR="00992245" w:rsidRDefault="00992245"/>
    <w:sectPr w:rsidR="0099224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D1"/>
    <w:rsid w:val="000F156F"/>
    <w:rsid w:val="00670DD1"/>
    <w:rsid w:val="009922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B614370"/>
  <w15:chartTrackingRefBased/>
  <w15:docId w15:val="{6EFFDADE-BF9A-984A-9819-87F77805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70DD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0DD1"/>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670DD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670DD1"/>
    <w:rPr>
      <w:color w:val="0000FF"/>
      <w:u w:val="single"/>
    </w:rPr>
  </w:style>
  <w:style w:type="paragraph" w:styleId="NormalWeb">
    <w:name w:val="Normal (Web)"/>
    <w:basedOn w:val="Normal"/>
    <w:uiPriority w:val="99"/>
    <w:semiHidden/>
    <w:unhideWhenUsed/>
    <w:rsid w:val="00670DD1"/>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670DD1"/>
    <w:rPr>
      <w:i/>
      <w:iCs/>
    </w:rPr>
  </w:style>
  <w:style w:type="character" w:styleId="lev">
    <w:name w:val="Strong"/>
    <w:basedOn w:val="Policepardfaut"/>
    <w:uiPriority w:val="22"/>
    <w:qFormat/>
    <w:rsid w:val="00670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8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3122</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2022-01-11T07:38:00Z</dcterms:created>
  <dcterms:modified xsi:type="dcterms:W3CDTF">2022-01-11T07:39:00Z</dcterms:modified>
</cp:coreProperties>
</file>